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DF1F" w14:textId="77777777" w:rsidR="00E2220C" w:rsidRDefault="008C4BDA">
      <w:pPr>
        <w:pStyle w:val="Fisatitlu"/>
      </w:pPr>
      <w:r>
        <w:t>fișa disciplinei</w:t>
      </w:r>
    </w:p>
    <w:p w14:paraId="2D1B4F3A" w14:textId="77777777" w:rsidR="00E2220C" w:rsidRDefault="008C4BDA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2220C" w14:paraId="69605C6D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28E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0988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E2220C" w14:paraId="48B033E8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C06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099A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E2220C" w14:paraId="626EF491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38C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060D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Economi</w:t>
            </w:r>
            <w:r w:rsidR="00EE6F8E">
              <w:rPr>
                <w:szCs w:val="22"/>
              </w:rPr>
              <w:t>e</w:t>
            </w:r>
          </w:p>
        </w:tc>
      </w:tr>
      <w:tr w:rsidR="00E2220C" w14:paraId="32EF9031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425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80AF" w14:textId="771DE76E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Administrarea Afacerilor </w:t>
            </w:r>
          </w:p>
        </w:tc>
      </w:tr>
      <w:tr w:rsidR="00E2220C" w14:paraId="6A9273F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80B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C3CD" w14:textId="33B8D344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Master </w:t>
            </w:r>
          </w:p>
        </w:tc>
      </w:tr>
      <w:tr w:rsidR="00E2220C" w14:paraId="2E9446F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216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0929" w14:textId="3F609416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Administrarea Afacerilor în Turism</w:t>
            </w:r>
          </w:p>
        </w:tc>
      </w:tr>
    </w:tbl>
    <w:p w14:paraId="0972EF69" w14:textId="77777777" w:rsidR="00E2220C" w:rsidRDefault="008C4BDA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20C" w14:paraId="61246C0C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50C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E6FE" w14:textId="2007DA6E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Administrarea afacerilor în restaurante</w:t>
            </w:r>
          </w:p>
        </w:tc>
      </w:tr>
      <w:tr w:rsidR="00E2220C" w14:paraId="02A2CB86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F70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AC3F" w14:textId="769531F7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Lector </w:t>
            </w:r>
            <w:r w:rsidR="00633750">
              <w:rPr>
                <w:szCs w:val="22"/>
              </w:rPr>
              <w:t>universitar</w:t>
            </w:r>
            <w:r>
              <w:rPr>
                <w:szCs w:val="22"/>
              </w:rPr>
              <w:t xml:space="preserve"> dr. Lakatos Artur </w:t>
            </w:r>
          </w:p>
        </w:tc>
      </w:tr>
      <w:tr w:rsidR="00E2220C" w14:paraId="64FE9136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96F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5FEC" w14:textId="0DBABEE7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Lector </w:t>
            </w:r>
            <w:r w:rsidR="00633750">
              <w:rPr>
                <w:szCs w:val="22"/>
              </w:rPr>
              <w:t xml:space="preserve">universitar </w:t>
            </w:r>
            <w:r>
              <w:rPr>
                <w:szCs w:val="22"/>
              </w:rPr>
              <w:t xml:space="preserve"> dr. Lakatos Artur</w:t>
            </w:r>
          </w:p>
        </w:tc>
      </w:tr>
      <w:tr w:rsidR="00E2220C" w14:paraId="5F85C88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B27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3DA4" w14:textId="3D86BAE8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</w:tr>
      <w:tr w:rsidR="00E2220C" w14:paraId="2DEB5B5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620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5EBC" w14:textId="74BD258D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E2220C" w14:paraId="072D39E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FAF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8259" w14:textId="39B3ECDD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Examen</w:t>
            </w:r>
          </w:p>
        </w:tc>
      </w:tr>
      <w:tr w:rsidR="00E2220C" w14:paraId="3D06282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BEF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0F56" w14:textId="4AA6B52E" w:rsidR="00E2220C" w:rsidRDefault="007C083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SN</w:t>
            </w:r>
          </w:p>
        </w:tc>
      </w:tr>
    </w:tbl>
    <w:p w14:paraId="303EB503" w14:textId="77777777" w:rsidR="00E2220C" w:rsidRDefault="008C4BDA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9"/>
        <w:gridCol w:w="2156"/>
        <w:gridCol w:w="686"/>
      </w:tblGrid>
      <w:tr w:rsidR="00E2220C" w14:paraId="409B21AC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F5F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5E85" w14:textId="1DA649B5" w:rsidR="00E2220C" w:rsidRDefault="004C60E1">
            <w:pPr>
              <w:pStyle w:val="TableContents"/>
              <w:widowControl w:val="0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D5E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F01A" w14:textId="0F66547D" w:rsidR="00E2220C" w:rsidRDefault="004C60E1">
            <w:pPr>
              <w:pStyle w:val="TableContents"/>
              <w:widowControl w:val="0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0DB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A0C3" w14:textId="63C3E792" w:rsidR="00E2220C" w:rsidRDefault="004C60E1">
            <w:pPr>
              <w:pStyle w:val="TableContents"/>
              <w:widowControl w:val="0"/>
            </w:pPr>
            <w:r>
              <w:t>2</w:t>
            </w:r>
          </w:p>
        </w:tc>
      </w:tr>
      <w:tr w:rsidR="00E2220C" w14:paraId="316B9202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8C3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E850" w14:textId="6FD4629D" w:rsidR="00E2220C" w:rsidRDefault="004C60E1">
            <w:pPr>
              <w:pStyle w:val="TableContents"/>
              <w:widowControl w:val="0"/>
            </w:pPr>
            <w:r>
              <w:t>56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0AF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B7FD" w14:textId="170DA61F" w:rsidR="00E2220C" w:rsidRDefault="004C60E1">
            <w:pPr>
              <w:pStyle w:val="TableContents"/>
              <w:widowControl w:val="0"/>
            </w:pPr>
            <w: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545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F840" w14:textId="0EDEE364" w:rsidR="00E2220C" w:rsidRDefault="004C60E1">
            <w:pPr>
              <w:pStyle w:val="TableContents"/>
              <w:widowControl w:val="0"/>
            </w:pPr>
            <w:r>
              <w:t>28</w:t>
            </w:r>
          </w:p>
        </w:tc>
      </w:tr>
      <w:tr w:rsidR="00E2220C" w14:paraId="475BFCF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19CB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23AB" w14:textId="7D60553D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  <w:r w:rsidR="004C60E1">
              <w:rPr>
                <w:b/>
                <w:bCs/>
              </w:rPr>
              <w:t xml:space="preserve"> 56</w:t>
            </w:r>
          </w:p>
        </w:tc>
      </w:tr>
      <w:tr w:rsidR="00E2220C" w14:paraId="331AF3B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38CB" w14:textId="77777777" w:rsidR="00E2220C" w:rsidRDefault="008C4BDA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8BE7" w14:textId="49DAEE51" w:rsidR="00E2220C" w:rsidRDefault="007C0834">
            <w:pPr>
              <w:pStyle w:val="TableContents"/>
              <w:widowControl w:val="0"/>
            </w:pPr>
            <w:r>
              <w:t>50</w:t>
            </w:r>
          </w:p>
        </w:tc>
      </w:tr>
      <w:tr w:rsidR="00E2220C" w14:paraId="5928C51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6774" w14:textId="77777777" w:rsidR="00E2220C" w:rsidRDefault="008C4BDA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8FAE" w14:textId="55C851F0" w:rsidR="00E2220C" w:rsidRDefault="007C0834">
            <w:pPr>
              <w:pStyle w:val="TableContents"/>
              <w:widowControl w:val="0"/>
            </w:pPr>
            <w:r>
              <w:t>30</w:t>
            </w:r>
          </w:p>
        </w:tc>
      </w:tr>
      <w:tr w:rsidR="00E2220C" w14:paraId="2669FAD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52F5" w14:textId="77777777" w:rsidR="00E2220C" w:rsidRDefault="008C4BDA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2771" w14:textId="66E1AFDA" w:rsidR="00E2220C" w:rsidRDefault="004C60E1">
            <w:pPr>
              <w:pStyle w:val="TableContents"/>
              <w:widowControl w:val="0"/>
            </w:pPr>
            <w:r>
              <w:t>2</w:t>
            </w:r>
            <w:r w:rsidR="007C0834">
              <w:t>8</w:t>
            </w:r>
          </w:p>
        </w:tc>
      </w:tr>
      <w:tr w:rsidR="00E2220C" w14:paraId="446E41E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9779" w14:textId="77777777" w:rsidR="00E2220C" w:rsidRDefault="008C4BDA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D6B9" w14:textId="74595ADA" w:rsidR="00E2220C" w:rsidRDefault="007C0834">
            <w:pPr>
              <w:pStyle w:val="TableContents"/>
              <w:widowControl w:val="0"/>
            </w:pPr>
            <w:r>
              <w:t>7</w:t>
            </w:r>
          </w:p>
        </w:tc>
      </w:tr>
      <w:tr w:rsidR="00E2220C" w14:paraId="1E52E7E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6527" w14:textId="77777777" w:rsidR="00E2220C" w:rsidRDefault="008C4BDA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7D62" w14:textId="4B9837AB" w:rsidR="00E2220C" w:rsidRDefault="007C0834">
            <w:pPr>
              <w:pStyle w:val="TableContents"/>
              <w:widowControl w:val="0"/>
            </w:pPr>
            <w:r>
              <w:t>4</w:t>
            </w:r>
          </w:p>
        </w:tc>
      </w:tr>
      <w:tr w:rsidR="00E2220C" w14:paraId="094F133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5CF5" w14:textId="77777777" w:rsidR="00E2220C" w:rsidRDefault="008C4BDA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0203" w14:textId="28D862CE" w:rsidR="00E2220C" w:rsidRDefault="004C60E1">
            <w:pPr>
              <w:pStyle w:val="TableContents"/>
              <w:widowControl w:val="0"/>
            </w:pPr>
            <w:r>
              <w:t>-</w:t>
            </w:r>
          </w:p>
        </w:tc>
      </w:tr>
      <w:tr w:rsidR="00E2220C" w14:paraId="3D2FAF8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14E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89CF" w14:textId="642DAFD5" w:rsidR="00E2220C" w:rsidRDefault="004C60E1">
            <w:pPr>
              <w:pStyle w:val="TableContents"/>
              <w:widowControl w:val="0"/>
            </w:pPr>
            <w:r>
              <w:t>94</w:t>
            </w:r>
          </w:p>
        </w:tc>
      </w:tr>
      <w:tr w:rsidR="00E2220C" w14:paraId="651D2ED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B18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0400" w14:textId="20FFC441" w:rsidR="00E2220C" w:rsidRDefault="004C60E1">
            <w:pPr>
              <w:pStyle w:val="TableContents"/>
              <w:widowControl w:val="0"/>
            </w:pPr>
            <w:r>
              <w:t>1</w:t>
            </w:r>
            <w:r w:rsidR="007C0834">
              <w:t>75</w:t>
            </w:r>
          </w:p>
        </w:tc>
      </w:tr>
      <w:tr w:rsidR="00E2220C" w14:paraId="1B5B04D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F85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26F3" w14:textId="18E4EE78" w:rsidR="00E2220C" w:rsidRDefault="007C0834">
            <w:pPr>
              <w:pStyle w:val="TableContents"/>
              <w:widowControl w:val="0"/>
            </w:pPr>
            <w:r>
              <w:t>7</w:t>
            </w:r>
          </w:p>
        </w:tc>
      </w:tr>
    </w:tbl>
    <w:p w14:paraId="0DD61177" w14:textId="77777777" w:rsidR="00E2220C" w:rsidRDefault="008C4BDA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89"/>
      </w:tblGrid>
      <w:tr w:rsidR="00E2220C" w14:paraId="278342E1" w14:textId="77777777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B5C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24D" w14:textId="1E5F7C56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2220C" w14:paraId="2A295C7B" w14:textId="77777777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805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51D7" w14:textId="5031BFB7" w:rsidR="00E2220C" w:rsidRDefault="004C60E1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0FCD9714" w14:textId="77777777" w:rsidR="00E2220C" w:rsidRDefault="008C4BDA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E2220C" w14:paraId="5C855287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9D2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A90E" w14:textId="78CCFBE2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Sală de curs, calculator, videoproiector, tablă, internet </w:t>
            </w:r>
          </w:p>
        </w:tc>
      </w:tr>
      <w:tr w:rsidR="00E2220C" w14:paraId="78598CA1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FA1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C6D5" w14:textId="3E450112" w:rsidR="00E2220C" w:rsidRDefault="004C60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Sală de curs, calculator, videoproiector, tablă, internet, teren</w:t>
            </w:r>
          </w:p>
        </w:tc>
      </w:tr>
    </w:tbl>
    <w:p w14:paraId="1E74F6A0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E2220C" w14:paraId="372AE66A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0E9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FFEA" w14:textId="3E985FD1" w:rsidR="00E2220C" w:rsidRDefault="001F671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CP 1. </w:t>
            </w:r>
            <w:r w:rsidR="004C60E1">
              <w:rPr>
                <w:szCs w:val="22"/>
              </w:rPr>
              <w:t xml:space="preserve">Definirea conceptelor, metodelor economice specifice în domeniul managementul restaurantelor și a ospitalității </w:t>
            </w:r>
          </w:p>
          <w:p w14:paraId="24EF08E0" w14:textId="5D8B3EA5" w:rsidR="004C60E1" w:rsidRDefault="001F671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CP 2. </w:t>
            </w:r>
            <w:r w:rsidR="004C60E1">
              <w:rPr>
                <w:szCs w:val="22"/>
              </w:rPr>
              <w:t xml:space="preserve">Cunoașterea legislației de specialitate </w:t>
            </w:r>
          </w:p>
          <w:p w14:paraId="370ADF72" w14:textId="2A888746" w:rsidR="004C60E1" w:rsidRDefault="001F671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CP 3. </w:t>
            </w:r>
            <w:r w:rsidR="004C60E1">
              <w:rPr>
                <w:szCs w:val="22"/>
              </w:rPr>
              <w:t xml:space="preserve">Cunoașterea normelor scrise și nescrise ale funcționării unei afaceri de tip restaurant </w:t>
            </w:r>
          </w:p>
        </w:tc>
      </w:tr>
      <w:tr w:rsidR="00E2220C" w14:paraId="25C03ED6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4DB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6DAA" w14:textId="77777777" w:rsidR="00E2220C" w:rsidRDefault="001F6713" w:rsidP="001F671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CT 1. </w:t>
            </w:r>
            <w:r w:rsidR="004C60E1">
              <w:rPr>
                <w:szCs w:val="22"/>
              </w:rPr>
              <w:t>Aplicarea principiilor, normelor și valorilor de etică profesională</w:t>
            </w:r>
            <w:r>
              <w:rPr>
                <w:szCs w:val="22"/>
              </w:rPr>
              <w:t xml:space="preserve"> în cadrul propriei strategii de muncă riguroasă, eficientă și responsabilă </w:t>
            </w:r>
          </w:p>
          <w:p w14:paraId="5348A6EB" w14:textId="77777777" w:rsidR="009A5158" w:rsidRDefault="009A5158" w:rsidP="001F671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CT 2. Identificarea rolurilor și responsabilităților într-o echipă plurispecializată și aplicarea de tehnici de relaționare și muncă eficientă în cadrul echipei </w:t>
            </w:r>
          </w:p>
          <w:p w14:paraId="4F70642F" w14:textId="358FDC21" w:rsidR="009A5158" w:rsidRDefault="009A5158" w:rsidP="001F671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CT 3. Identificarea oportunităților de formare continuă și valorificarea eficientă a resurselor și tehnicilor de învățare pentru propria dezvoltare </w:t>
            </w:r>
          </w:p>
        </w:tc>
      </w:tr>
    </w:tbl>
    <w:p w14:paraId="5B375076" w14:textId="77777777" w:rsidR="00E2220C" w:rsidRDefault="008C4BDA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E2220C" w14:paraId="6ABA031D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ABF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24CFE831" w14:textId="77777777" w:rsidR="00E2220C" w:rsidRDefault="008C4BDA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BB84" w14:textId="77777777" w:rsidR="00E2220C" w:rsidRDefault="00172F1E">
            <w:pPr>
              <w:pStyle w:val="TableContents"/>
              <w:widowControl w:val="0"/>
              <w:ind w:left="170"/>
            </w:pPr>
            <w:r>
              <w:t xml:space="preserve">Aprofundarea cunoștinelor în domeniul managementului HORECA și însușirea competențelor profesionale la standardele europene </w:t>
            </w:r>
          </w:p>
          <w:p w14:paraId="570B61F6" w14:textId="3D6734C8" w:rsidR="00172F1E" w:rsidRDefault="00172F1E">
            <w:pPr>
              <w:pStyle w:val="TableContents"/>
              <w:widowControl w:val="0"/>
              <w:ind w:left="170"/>
            </w:pPr>
          </w:p>
        </w:tc>
      </w:tr>
      <w:tr w:rsidR="00E2220C" w14:paraId="0699C0FD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6D3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2DF8" w14:textId="77777777" w:rsidR="00E2220C" w:rsidRDefault="00172F1E">
            <w:pPr>
              <w:pStyle w:val="TableContents"/>
              <w:widowControl w:val="0"/>
              <w:ind w:left="170"/>
            </w:pPr>
            <w:r>
              <w:t xml:space="preserve">Însușirea unor competențe de administrare a activității în departamentele restaurantului. </w:t>
            </w:r>
          </w:p>
          <w:p w14:paraId="5E40BD28" w14:textId="77777777" w:rsidR="00172F1E" w:rsidRDefault="00172F1E">
            <w:pPr>
              <w:pStyle w:val="TableContents"/>
              <w:widowControl w:val="0"/>
              <w:ind w:left="170"/>
            </w:pPr>
            <w:r>
              <w:t xml:space="preserve">Înțelegerea și cunoașterea mecanismelor financiar-contabile </w:t>
            </w:r>
            <w:r w:rsidR="004E6B1A">
              <w:t xml:space="preserve">specifice în alimentație și restaurant </w:t>
            </w:r>
          </w:p>
          <w:p w14:paraId="6067BBBA" w14:textId="6142A72D" w:rsidR="004E6B1A" w:rsidRDefault="004E6B1A">
            <w:pPr>
              <w:pStyle w:val="TableContents"/>
              <w:widowControl w:val="0"/>
              <w:ind w:left="170"/>
            </w:pPr>
            <w:r>
              <w:t>Dobândirea prin prisma exercițiului a unor deprinderi de administrare</w:t>
            </w:r>
            <w:r w:rsidR="0073011D">
              <w:t>, realizarea unor proiecte individuale și în echipă</w:t>
            </w:r>
          </w:p>
        </w:tc>
      </w:tr>
    </w:tbl>
    <w:p w14:paraId="538D6B66" w14:textId="77777777" w:rsidR="00E2220C" w:rsidRDefault="008C4BDA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5"/>
        <w:gridCol w:w="1314"/>
      </w:tblGrid>
      <w:tr w:rsidR="00E2220C" w14:paraId="34ADB39A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F873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5028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FC73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E2220C" w14:paraId="0AF20B8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DD1C" w14:textId="6C405531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Introducere în industria o</w:t>
            </w:r>
            <w:r w:rsidR="0055716C">
              <w:rPr>
                <w:szCs w:val="22"/>
              </w:rPr>
              <w:t>sp</w:t>
            </w:r>
            <w:r>
              <w:rPr>
                <w:szCs w:val="22"/>
              </w:rPr>
              <w:t>italității. Concepte și definiții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3D8E" w14:textId="721CAC54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Prezentări, prelegeri, curs interactiv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6E3E" w14:textId="48D33D39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2 ore </w:t>
            </w:r>
          </w:p>
        </w:tc>
      </w:tr>
      <w:tr w:rsidR="00E2220C" w14:paraId="0A50C39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0D11" w14:textId="5AA5BC7F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Scurta istorie a evoluției industriei ospitalității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028A" w14:textId="5842427D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5F46" w14:textId="50647702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1EE95B3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61EC" w14:textId="7F7B0612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Tipuri de restaurante. Legislație, standardizări, categorii. Conceptul HORECA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892E" w14:textId="00FD8F2E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7982" w14:textId="39365966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0A1D04D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823B" w14:textId="442017F3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Rolul brandingului în afacerile din domeniul ospitalității. Branduri locale, naționale și internaționale.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FA30" w14:textId="1A6A7C0E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B483" w14:textId="75107771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66A8670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B040" w14:textId="2A8ADC8C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Organizarea unui restaurant. Activități manageriale. Rolul studiului de fezabilitate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576C" w14:textId="0225DC3D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B1B6" w14:textId="13C31EA4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39295F9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AEE4" w14:textId="07A4EF83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Alimentele de bază și rolul lor în nutriție. Merceologia alimentelor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4CE0" w14:textId="017EC327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045E" w14:textId="3F7B4555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21682F7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1A37" w14:textId="28CE1C21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Aprovizionarea și înmagazinarea mărfurilor.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6FF8" w14:textId="771166BA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5B95" w14:textId="771F99DA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08DE6EC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5F0C" w14:textId="55C123FB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Producția în restaurant. Funcționarea bucătăriei. Servirea în restaurant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0F46" w14:textId="719EE58F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C7F1" w14:textId="125E4772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003D18F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7B83" w14:textId="11AFEE3E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Normele de igienă și controlul acestora în cadrul unui restaurant. Rolul autorităților de control, a criticilor profesioniști și a clientului misterios.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4088" w14:textId="77D99B67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897C" w14:textId="45E78EA5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5EA5E1B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6B91" w14:textId="02A24CB1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Normele etice și de curtoazie în restaurant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625C" w14:textId="722BB361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2CA0" w14:textId="5F582C8D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61A6DAC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49C1" w14:textId="14DAA6F8" w:rsidR="00E2220C" w:rsidRDefault="0073011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Rolul marketingului.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38E6" w14:textId="118D7EE9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837B" w14:textId="54B20A8B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1FAAB4E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D17F" w14:textId="2764D6AD" w:rsidR="00E2220C" w:rsidRDefault="0055716C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Managementul resurselor umane în restaurante, partea I. Funcțiile de conducere, management și de administrație</w:t>
            </w:r>
            <w:r w:rsidR="008D2DBB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EBF8" w14:textId="7C4A6F0E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8C71" w14:textId="4D4B50DC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1BF391A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B4D2" w14:textId="439A5ED0" w:rsidR="00E2220C" w:rsidRDefault="0055716C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Managementul resurselor umane în restaurante, partea a II-a. Funcțiile de execuție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DC7E" w14:textId="4E93780D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9F86" w14:textId="5D69E402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68CF337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63F3" w14:textId="100D6A25" w:rsidR="00E2220C" w:rsidRDefault="0055716C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Organizarea financiar-contabilă a restaurantului.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53C5" w14:textId="0A717041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Prezentări, prelegeri, 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7505" w14:textId="425D03A2" w:rsidR="00E2220C" w:rsidRDefault="0055716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001920FF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E5E5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6C97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B3FF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55716C" w14:paraId="35588FA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8491" w14:textId="14341B38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Introducere în industria ospitalității. Concepte și definiții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95C8" w14:textId="08C65DB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Dezbateri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D860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27D5097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C22C" w14:textId="1045535D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Scurta istorie a evoluției industriei ospitalității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CBAD" w14:textId="4539A398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A6CE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344D7D9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47BC" w14:textId="03C5BEDC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Tipuri de restaurante. Legislație, standardizări, categorii. Conceptul HORECA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D1A9" w14:textId="3CB4C0EB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1C7C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033825C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DAB5" w14:textId="5437B033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Rolul brandingului în afacerile din domeniul ospitalității. Branduri locale, naționale și internaționale.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04DB" w14:textId="092599EF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1AC1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7103328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DCBE" w14:textId="776F69CB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Organizarea unui restaurant. Activități manageriale. Rolul studiului de fezabilitate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1C06" w14:textId="61765715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E919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7270C41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6C11" w14:textId="083A85B7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Alimentele de bază și rolul lor în nutriție. Merceologia alimentelor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87F0" w14:textId="3F9D24A8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F222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5763C4C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7F1D" w14:textId="48285F6C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Aprovizionarea și înmagazinarea mărfurilor.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6B8E" w14:textId="565738D0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EF57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4064CF3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0C63" w14:textId="4FE196F0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Producția în restaurant. Funcționarea bucătăriei. Servirea în restaurant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F780" w14:textId="327C072F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B28F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6EA2258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7FAC" w14:textId="1C6853D3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Normele de igienă și controlul acestora în cadrul unui restaurant. Rolul autorităților de control, a criticilor profesioniști și a clientului misterios.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D6E2" w14:textId="0AB733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5712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2DBFDD8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A924" w14:textId="696488F0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Normele etice și de curtoazie în restaurant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BDD7" w14:textId="5AAAF8F3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D34B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5CFAAFA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6D59" w14:textId="50E63D5F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Rolul marketingului.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C439" w14:textId="5124EEEC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B732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3412E35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DC14" w14:textId="4E9BE0D0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Managementul resurselor umane în restaurante, partea I. Funcțiile de conducere, management și de administrație</w:t>
            </w:r>
            <w:r w:rsidR="008D2DBB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B945" w14:textId="2CC6D036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42E9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1C2FEFA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AD2A" w14:textId="72415391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Managementul resurselor umane în restaurante, partea a II-a. Funcțiile de execuție</w:t>
            </w:r>
            <w:r w:rsidR="008D2DBB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0A50" w14:textId="1BE74653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61AD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5948419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CB23" w14:textId="5B48FC7F" w:rsidR="0055716C" w:rsidRDefault="0055716C" w:rsidP="0055716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Organizarea financiar-contabilă a restaurantului.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F142" w14:textId="2A7D0B55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Prezentări, dezbateri, studii de caz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280D" w14:textId="77777777" w:rsidR="0055716C" w:rsidRDefault="0055716C" w:rsidP="0055716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716C" w14:paraId="11F48AB8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DEFD" w14:textId="77777777" w:rsidR="0055716C" w:rsidRDefault="0055716C" w:rsidP="0055716C">
            <w:pPr>
              <w:pStyle w:val="Fisasubtitlubibliografie"/>
              <w:widowControl w:val="0"/>
            </w:pPr>
            <w:r>
              <w:t>Bibliografie obligatorie</w:t>
            </w:r>
          </w:p>
          <w:p w14:paraId="4C68C207" w14:textId="12E1FCA9" w:rsidR="0055716C" w:rsidRDefault="00235A9F" w:rsidP="0055716C">
            <w:pPr>
              <w:widowControl w:val="0"/>
              <w:rPr>
                <w:lang w:val="hu-HU"/>
              </w:rPr>
            </w:pPr>
            <w:r>
              <w:t>Csi</w:t>
            </w:r>
            <w:r>
              <w:rPr>
                <w:lang w:val="hu-HU"/>
              </w:rPr>
              <w:t xml:space="preserve">zmadia László, </w:t>
            </w:r>
            <w:r w:rsidRPr="00235A9F">
              <w:rPr>
                <w:i/>
                <w:iCs/>
                <w:lang w:val="hu-HU"/>
              </w:rPr>
              <w:t>Értékesítés a vendéglátásban</w:t>
            </w:r>
            <w:r>
              <w:rPr>
                <w:lang w:val="hu-HU"/>
              </w:rPr>
              <w:t>. BGF Kereskedelmi, Vendéglátóipari és Idegenforgalmi Főiskolai Kar kiadása, Budapest, 2007</w:t>
            </w:r>
          </w:p>
          <w:p w14:paraId="188BF158" w14:textId="2982C1CC" w:rsidR="00A4431A" w:rsidRDefault="00235A9F" w:rsidP="0055716C">
            <w:pPr>
              <w:widowControl w:val="0"/>
            </w:pPr>
            <w:r>
              <w:t xml:space="preserve">Gabriela Stănciulescu, Cristina Micu, </w:t>
            </w:r>
            <w:r w:rsidRPr="00235A9F">
              <w:rPr>
                <w:i/>
                <w:iCs/>
              </w:rPr>
              <w:t>Managementul operațiunilor în hotelărie și restaurație</w:t>
            </w:r>
            <w:r>
              <w:t>, Editura C. H. Back, București, 2005</w:t>
            </w:r>
          </w:p>
          <w:p w14:paraId="1851832F" w14:textId="77777777" w:rsidR="00484176" w:rsidRDefault="00484176" w:rsidP="0055716C">
            <w:pPr>
              <w:widowControl w:val="0"/>
            </w:pPr>
          </w:p>
          <w:p w14:paraId="10764CAE" w14:textId="77777777" w:rsidR="0055716C" w:rsidRDefault="0055716C" w:rsidP="0055716C">
            <w:pPr>
              <w:pStyle w:val="Fisasubtitlubibliografie"/>
              <w:widowControl w:val="0"/>
            </w:pPr>
            <w:r>
              <w:t>Bibliografie facultativă</w:t>
            </w:r>
          </w:p>
          <w:p w14:paraId="68BF2C73" w14:textId="0E7DA4F2" w:rsidR="00235A9F" w:rsidRDefault="00235A9F" w:rsidP="00235A9F">
            <w:pPr>
              <w:rPr>
                <w:lang w:val="hu-HU"/>
              </w:rPr>
            </w:pPr>
            <w:r>
              <w:rPr>
                <w:lang w:val="hu-HU"/>
              </w:rPr>
              <w:t xml:space="preserve">Bucsics Imre, Gyurisza János, </w:t>
            </w:r>
            <w:r w:rsidR="00176EE2" w:rsidRPr="008D2DBB">
              <w:rPr>
                <w:i/>
                <w:iCs/>
                <w:lang w:val="hu-HU"/>
              </w:rPr>
              <w:t>A vendégfogadós</w:t>
            </w:r>
            <w:r w:rsidR="00176EE2">
              <w:rPr>
                <w:lang w:val="hu-HU"/>
              </w:rPr>
              <w:t xml:space="preserve">. Képzőművészeti Kiadó és Nyomda, 2000. </w:t>
            </w:r>
          </w:p>
          <w:p w14:paraId="052D8985" w14:textId="2D62F213" w:rsidR="00176EE2" w:rsidRDefault="00176EE2" w:rsidP="00235A9F">
            <w:pPr>
              <w:rPr>
                <w:lang w:val="hu-HU"/>
              </w:rPr>
            </w:pPr>
            <w:r>
              <w:rPr>
                <w:lang w:val="hu-HU"/>
              </w:rPr>
              <w:t xml:space="preserve">Fenyő Imre, Imre János, </w:t>
            </w:r>
            <w:r w:rsidRPr="008D2DBB">
              <w:rPr>
                <w:i/>
                <w:iCs/>
                <w:lang w:val="hu-HU"/>
              </w:rPr>
              <w:t>A vendéglátás és az idegenforgalom gazdaságtana</w:t>
            </w:r>
            <w:r>
              <w:rPr>
                <w:lang w:val="hu-HU"/>
              </w:rPr>
              <w:t xml:space="preserve">, Közgazdasági és Jogi Könyvkiadó, Budapest, 1977. </w:t>
            </w:r>
          </w:p>
          <w:p w14:paraId="455559C0" w14:textId="78E29E89" w:rsidR="00235A9F" w:rsidRDefault="00235A9F" w:rsidP="00235A9F">
            <w:pPr>
              <w:rPr>
                <w:lang w:val="hu-HU"/>
              </w:rPr>
            </w:pPr>
            <w:r>
              <w:rPr>
                <w:lang w:val="hu-HU"/>
              </w:rPr>
              <w:t xml:space="preserve">MAVEMISZ, </w:t>
            </w:r>
            <w:r w:rsidRPr="008D2DBB">
              <w:rPr>
                <w:i/>
                <w:iCs/>
                <w:lang w:val="hu-HU"/>
              </w:rPr>
              <w:t>Útmutató a vendéglátás Jó Higiéniai Gyakorlatához</w:t>
            </w:r>
            <w:r>
              <w:rPr>
                <w:lang w:val="hu-HU"/>
              </w:rPr>
              <w:t xml:space="preserve">, </w:t>
            </w:r>
            <w:r w:rsidR="008D2DBB">
              <w:rPr>
                <w:lang w:val="hu-HU"/>
              </w:rPr>
              <w:t>G</w:t>
            </w:r>
            <w:r>
              <w:rPr>
                <w:lang w:val="hu-HU"/>
              </w:rPr>
              <w:t xml:space="preserve">azdasági és Közlekedési Minisztérium, Budapest, 2004 </w:t>
            </w:r>
          </w:p>
          <w:p w14:paraId="69E85AE9" w14:textId="47342588" w:rsidR="00235A9F" w:rsidRPr="00235A9F" w:rsidRDefault="00235A9F" w:rsidP="00235A9F">
            <w:pPr>
              <w:rPr>
                <w:lang w:val="hu-HU"/>
              </w:rPr>
            </w:pPr>
            <w:r>
              <w:rPr>
                <w:lang w:val="hu-HU"/>
              </w:rPr>
              <w:t xml:space="preserve">Tusor András, Sahin-Tóth Gyula, </w:t>
            </w:r>
            <w:r w:rsidRPr="008D2DBB">
              <w:rPr>
                <w:i/>
                <w:iCs/>
                <w:lang w:val="hu-HU"/>
              </w:rPr>
              <w:t>Gasztronómia. Étel- és italismeret</w:t>
            </w:r>
            <w:r>
              <w:rPr>
                <w:lang w:val="hu-HU"/>
              </w:rPr>
              <w:t>, Kereskedelmi és Idegenforgalmi Továbbképző Kft, Budapest, 1999</w:t>
            </w:r>
          </w:p>
        </w:tc>
      </w:tr>
    </w:tbl>
    <w:p w14:paraId="6D7A61CC" w14:textId="77777777" w:rsidR="00E2220C" w:rsidRDefault="008C4BDA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2220C" w14:paraId="1F3502D9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CEB7" w14:textId="6C05A218" w:rsidR="00E2220C" w:rsidRDefault="00235A9F">
            <w:pPr>
              <w:pStyle w:val="TableContents"/>
              <w:widowControl w:val="0"/>
            </w:pPr>
            <w:r>
              <w:t xml:space="preserve">Conținutul disciplinei  este în concordanță cu ceea ce se studiază în alte centre universitare din țară și din străinătate, precum și cu cerințele activităților profesionale derulate în cadrul organizațiilor angajatoare. </w:t>
            </w:r>
          </w:p>
        </w:tc>
      </w:tr>
    </w:tbl>
    <w:p w14:paraId="4FBAF36E" w14:textId="77777777" w:rsidR="00E2220C" w:rsidRDefault="008C4BDA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88"/>
        <w:gridCol w:w="1652"/>
      </w:tblGrid>
      <w:tr w:rsidR="00E2220C" w14:paraId="761037BC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B06E" w14:textId="77777777" w:rsidR="00E2220C" w:rsidRDefault="008C4BDA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544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623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88B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E2220C" w14:paraId="283BE155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2446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90BC" w14:textId="4723113C" w:rsidR="00E2220C" w:rsidRDefault="00176EE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Evaluare sumativă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4714" w14:textId="6DCCA398" w:rsidR="00E2220C" w:rsidRDefault="00176EE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Examen scris 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8861" w14:textId="572F9A20" w:rsidR="00E2220C" w:rsidRDefault="00176EE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70 %</w:t>
            </w:r>
          </w:p>
        </w:tc>
      </w:tr>
      <w:tr w:rsidR="00E2220C" w14:paraId="201545BC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4988" w14:textId="77777777" w:rsidR="00E2220C" w:rsidRDefault="008C4BDA">
            <w:pPr>
              <w:widowControl w:val="0"/>
              <w:numPr>
                <w:ilvl w:val="1"/>
                <w:numId w:val="2"/>
              </w:numPr>
            </w:pPr>
            <w:r>
              <w:lastRenderedPageBreak/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9D1A" w14:textId="5C42119E" w:rsidR="00E2220C" w:rsidRDefault="00176EE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Evaluare progresivă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DF36" w14:textId="7AA04022" w:rsidR="00E2220C" w:rsidRDefault="00176EE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Participare activă, proiecte individuală și de grup, prezentare individuală 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029F" w14:textId="0E1781E8" w:rsidR="00E2220C" w:rsidRPr="00176EE2" w:rsidRDefault="00176EE2">
            <w:pPr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>30 %</w:t>
            </w:r>
          </w:p>
        </w:tc>
      </w:tr>
      <w:tr w:rsidR="00E2220C" w14:paraId="6DB2A035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28ED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Standard minim de performanță: </w:t>
            </w:r>
          </w:p>
          <w:p w14:paraId="6B210B12" w14:textId="490F3542" w:rsidR="00176EE2" w:rsidRDefault="003C57D1" w:rsidP="00176EE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Obținerea minim 50 % din punctajul total acordat, dintre care 25% pentru activitatea de seminar și 25% la proba scrisă. </w:t>
            </w:r>
          </w:p>
        </w:tc>
      </w:tr>
      <w:tr w:rsidR="00E2220C" w14:paraId="5E0B9A6F" w14:textId="77777777">
        <w:tc>
          <w:tcPr>
            <w:tcW w:w="2548" w:type="dxa"/>
            <w:gridSpan w:val="2"/>
            <w:shd w:val="clear" w:color="auto" w:fill="auto"/>
          </w:tcPr>
          <w:p w14:paraId="78B8F608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6AC37695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67A91EB3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E2220C" w14:paraId="48193FF3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7E307341" w14:textId="364C8786" w:rsidR="00E2220C" w:rsidRDefault="008C4BDA">
            <w:pPr>
              <w:widowControl w:val="0"/>
            </w:pPr>
            <w:r>
              <w:t>25 septembrie 202</w:t>
            </w:r>
            <w:r w:rsidR="00633750">
              <w:t>2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23C28A23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793A2E90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  <w:tr w:rsidR="00E2220C" w14:paraId="2733775F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0BB72E03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0D6CEFAD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E2220C" w14:paraId="6FC93F3E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C7741D6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0625B624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</w:tbl>
    <w:p w14:paraId="168C2842" w14:textId="77777777" w:rsidR="00E2220C" w:rsidRDefault="00E2220C"/>
    <w:sectPr w:rsidR="00E2220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B8"/>
    <w:multiLevelType w:val="multilevel"/>
    <w:tmpl w:val="345E41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1265687"/>
    <w:multiLevelType w:val="multilevel"/>
    <w:tmpl w:val="72964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037B4"/>
    <w:multiLevelType w:val="multilevel"/>
    <w:tmpl w:val="8AD6AF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9C3005"/>
    <w:multiLevelType w:val="hybridMultilevel"/>
    <w:tmpl w:val="5900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7B9E"/>
    <w:multiLevelType w:val="multilevel"/>
    <w:tmpl w:val="6AA837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890418507">
    <w:abstractNumId w:val="4"/>
  </w:num>
  <w:num w:numId="2" w16cid:durableId="352654667">
    <w:abstractNumId w:val="2"/>
  </w:num>
  <w:num w:numId="3" w16cid:durableId="1745953264">
    <w:abstractNumId w:val="0"/>
  </w:num>
  <w:num w:numId="4" w16cid:durableId="1651787809">
    <w:abstractNumId w:val="1"/>
  </w:num>
  <w:num w:numId="5" w16cid:durableId="2095542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dresses.dbo.AddressBook$"/>
  </w:mailMerge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C"/>
    <w:rsid w:val="00172F1E"/>
    <w:rsid w:val="00176EE2"/>
    <w:rsid w:val="001F6713"/>
    <w:rsid w:val="00235A9F"/>
    <w:rsid w:val="003C57D1"/>
    <w:rsid w:val="003F4D89"/>
    <w:rsid w:val="00484176"/>
    <w:rsid w:val="004C60E1"/>
    <w:rsid w:val="004E6B1A"/>
    <w:rsid w:val="0055716C"/>
    <w:rsid w:val="00633750"/>
    <w:rsid w:val="0073011D"/>
    <w:rsid w:val="007C0834"/>
    <w:rsid w:val="008C4BDA"/>
    <w:rsid w:val="008D2DBB"/>
    <w:rsid w:val="009A5158"/>
    <w:rsid w:val="00A4431A"/>
    <w:rsid w:val="00E2220C"/>
    <w:rsid w:val="00EE6F8E"/>
    <w:rsid w:val="00F560E3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53A3"/>
  <w15:docId w15:val="{3BA6C120-0600-478B-8FEA-76644FD7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Krisztina</cp:lastModifiedBy>
  <cp:revision>4</cp:revision>
  <dcterms:created xsi:type="dcterms:W3CDTF">2020-10-27T19:02:00Z</dcterms:created>
  <dcterms:modified xsi:type="dcterms:W3CDTF">2022-11-25T09:04:00Z</dcterms:modified>
  <dc:language>hu-HU</dc:language>
</cp:coreProperties>
</file>